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-389255</wp:posOffset>
            </wp:positionV>
            <wp:extent cx="1741805" cy="1741805"/>
            <wp:effectExtent l="0" t="0" r="0" b="0"/>
            <wp:wrapNone/>
            <wp:docPr id="1" name="รูปภาพ 1" descr="logo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logo ส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  </w:t>
      </w:r>
      <w:r>
        <w:rPr>
          <w:rFonts w:ascii="Tahoma"/>
          <w:b/>
          <w:sz w:val="20"/>
          <w:lang w:bidi="th-TH"/>
        </w:rPr>
        <w:drawing>
          <wp:inline distT="0" distB="0" distL="0" distR="0">
            <wp:extent cx="953770" cy="9537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31" cy="9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ahoma"/>
          <w:b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61595</wp:posOffset>
                </wp:positionV>
                <wp:extent cx="6765290" cy="1184275"/>
                <wp:effectExtent l="38735" t="15240" r="38735" b="6540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263" cy="118427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พันธะสัญญาการให้บริการประชาชน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วิธีการกำหนดพันธะสัญญาของ สถานีตำรวจภูธร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ประจักษ์ศิลปาคม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 ในการให้บริการประชาชนตามกรอบกิจกรรมของ ตร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                                                    5.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4.85pt;height:93.25pt;width:532.7pt;z-index:251659264;v-text-anchor:middle;mso-width-relative:page;mso-height-relative:page;" fillcolor="#800000" filled="t" stroked="t" coordsize="21600,21600" arcsize="0.166666666666667" o:gfxdata="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1UJOUNsAAAAKAQAADwAAAAAAAAABACAAAAAiAAAAZHJzL2Rvd25yZXYueG1sUEsBAhQAFAAA&#10;AAgAh07iQF+FbbQJAwAACwYAAA4AAAAAAAAAAQAgAAAAKgEAAGRycy9lMm9Eb2MueG1sUEsFBgAA&#10;AAAGAAYAWQEAAKUGAAAAAA==&#10;">
                <v:fill on="t" focussize="0,0"/>
                <v:stroke color="#BE4B48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พันธะสัญญาการให้บริการประชาชน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วิธีการกำหนดพันธะสัญญาของ สถานีตำรวจภูธร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ประจักษ์ศิลปาคม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 xml:space="preserve"> ในการให้บริการประชาชนตามกรอบกิจกรรมของ ตร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.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                                                    5.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สอบสวน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</w:t>
      </w: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16"/>
          <w:szCs w:val="16"/>
          <w:lang w:bidi="th-TH"/>
        </w:rPr>
      </w:pP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กรอบกิจกรรมงานด้านต่างๆ  ตร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หนดกรอบกิจกรรมของสถานีต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รวจที่จะต้องน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ไป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หนดพันธะสัญญา ให้บริการประชาชนซ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เป็นส่วนหน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ของแนวทางในการผลักดันนโยบาย ลงส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ภาคปฏิบัติโดยมีเป้าหมายที่ม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ุ่ง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เน้น ให้สถานีต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รวจแต่ละสถานีให้ค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มั่นสัญญาต่อ ประชาชนผู้รับบริการในพ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ที่อย่างเป็นรูปธรรมภายใต้ระบบการท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 และทรัพยากรที่มีอย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ในแต่ละพ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ที่ในหน้างานด้านต่างๆของ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สถานีตำรวจซึ่ง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จะถือเป็นข้อผูกพันในการปฏิบัติเพื่อให้บริการประชาชน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กรอบกิจกรรมใน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สอบสวน ดังนี้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707"/>
        <w:gridCol w:w="2406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6" w:type="dxa"/>
            <w:gridSpan w:val="4"/>
            <w:shd w:val="clear" w:color="auto" w:fill="800000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ของงานสอบสวน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shd w:val="clear" w:color="auto" w:fill="E5B8B7" w:themeFill="accent2" w:themeFillTint="66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707" w:type="dxa"/>
            <w:shd w:val="clear" w:color="auto" w:fill="E5B8B7" w:themeFill="accent2" w:themeFillTint="66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406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922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การแจ้งเอกสารหาย</w:t>
            </w:r>
            <w:bookmarkStart w:id="0" w:name="_GoBack"/>
            <w:bookmarkEnd w:id="0"/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พบเจ้าหน้าที่เสมียนประจำวัน เพื่อเขียนบันทึกประจำวันเอกสารหาย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พนักงานสอบสวนลงนามในบันทึกประจำวัน ในหัวข้อที่รับแจ้ง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เจ้าหน้าที่เสมียนประจำวัน มอบสำเนาบันทึกประจำวันให้ผู้แจ้ง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*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ประชาชนมีทางเลือกที่สามารถใช้บริการได้ที่สถานีตำรวจใกล้เคียงที่สะดวก ตู้ยามตำรวจ  ที่ทำการตำรวจชุมชน  หรือหน่วยบริการเคลื่อนที่ของสถานีตำรวจ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นับแต่เวลาที่เจ้าหน้าที่รับเรื่อง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การเปรียบเทียบปรับตามใบสั่ง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นำใบสั่งไปพบพนักงานสอบสวน เพื่อกำหนดอัตราเปรียบเทียบปรับ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ชำระค่าปรับที่เสมียนเปรียบเทียบปรับ รับใบเสร็จ ใบอนุญาตขับขี่ยื่นคำร้อง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ขอคัดสำเนาประจำวันต่อพนักงานสอบสวน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ภายใน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นับแต่เวลาที่เจ้าหน้าที่รับเรื่อง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การขอสำเนาบันทึกประจำวันเกี่ยวกับคดี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ยื่นคำร้องขอคัดสำเนาบันทึกประจำวัน ต่อพนักงานสอบสวน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เมื่อหัวหน้าสถานีตำรวจพิจารณาแล้วเห็นควรอนุญาตบัตรรับรองสำเนาถูกต้อง มอบให้กับผู้แจ้ง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วันเวลาราชการ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ได้รับอนุมัติจากผู้มีอ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นาจและภายใต้ บทบัญญัติของ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ข้อมูลข่าวสาร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การขอถอนคำร้องทุกข์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พนักงานสอบสวนเวรเจ้าของคดี หรือร้อยเวรตรวจสอบเอกสารที่เกี่ยวข้อง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พนักงานสอบสวนตรวจสอบคดีและอธิบายขั้นตอนการดำเนินคดี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บันทึกปากคำ และลงลายมือชื่อในสมุดบัญชียึดและรักษาทรัพย์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 (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กรณีของกลาง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rtl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rtl/>
                <w:cs/>
                <w:lang w:val="th-TH" w:bidi="th-TH"/>
              </w:rPr>
              <w:t>ลงบันทึกประจำวัน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บันทึกการถอนคำร้องทุกข์ คดีความผิดอันยอมความได้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นับแต่เวลารับเรื่อง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5.</w:t>
            </w:r>
            <w:r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การแจ้งความเป็นหลักฐานกรณีไม่เกี่ยวกับคดี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พนักงานสอบสวนซักถามรายละเอียดข้อเท็จจริง และตรวจสอบหลักฐาน เอกสารที่เกี่ยวข้อง อธิบายข้อกฎหมาย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ลงบันทึกประจำวัน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นับแต่เวลารับเรื่อง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การขอประกันตัวผู้ต้องหา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ผู้ต้องหาหรือผู้มีประโยชน์เกี่ยวข้องนำหลักประกันยื่นคำร้อง ขอปล่อยตัวชั่วคราวต่อพนักงานสอบสวนหรือเจ้าพนักงานตำรวจ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พนักงานสอบสวนตรวจสอบหลักฐานถูกต้องครบถ้วน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บันทึกสัญญาประกัน และมีความเห็นควรหรือไม่ควรอนุญาตให้ประกัน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ผู้มีอำนาจสั่งอนุญาตหรือไม่อนุญาตให้ประกัน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5.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ในกรณีที่อนุญาตให้ออกหลักฐานรับหลักประกัน และสัญญาประกันคู่ฉบับ มอบให้นายประกัน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เจ้าหน้าที่เสมียนเวร ทำการบันทึกประจำวันเพื่อปล่อยตัวหรือไม่ปล่อยตัวผู้ต้องหา</w:t>
            </w:r>
          </w:p>
        </w:tc>
        <w:tc>
          <w:tcPr>
            <w:tcW w:w="240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นับแต่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เวลาที่ยื่นค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ร้องต่อ พนักงานสอบสวนหรือ เจ้าพนักงานต ารวจกรณี มีเหตุจ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าเป็นไม่อาจสั่ง ปล่อยชั่วคราวได้ให้ พิจารณาให้เสร็จสิ้น 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นับแต่ เวลาที่ยื่นค าร้องขอปล่อยชั่วคราว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พนักงานสอบส่วนได้ท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การสอบสวนพิมท์ลายนิ้วมือผู้ต้องหาแล้ว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หลักฐานเกี่ยวกับผู้ประกันกันครบถ้วน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หลักฐานเที่ยวกับหลักประกันครบถ้วน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พนักงานสอบสวนเป็นผู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อ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นาจวินิจฉัย 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ยกเว้นกรณี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4.1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คดีความผิดต่อพระมหากษัตริย์ พระราชินี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รั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ชทายาท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และผู้ส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เร็จราชการ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คดีความผิดความมั่นคงของรัฐ ภายในราชอาณาจักร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4.3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คดีอุกฉกรรจ์สะเทือนขวัญ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การคืนหลักทรัพย์ที่นำมาประกันตัวผู้ต้องหา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นำหลักฐานรับหลักประกันตัวผู้ต้องหาพบพนักงานสอบสวน หรือธุรการคดี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พนักงานสอบสวนหรือเจ้าหน้าที่ธุรการทางคดี ตรวจสอบบันทึกผลคดีถึงที่สุด หรือบันทึกเหตุที่ถอนคดีได้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พนักงานสอบสวนมีความเห็นให้ถอนสัญญาประกัน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4.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เจ้าหน้าที่เสมียนเวรลงบันทึกประจำวันและมอบหลักทรัพย์คืนให้นายประกัน</w:t>
            </w:r>
          </w:p>
        </w:tc>
        <w:tc>
          <w:tcPr>
            <w:tcW w:w="2406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กรณี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หลักทรัพย์อยู่ที่สถานี 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กรณีหลักทรัพย์ไม่ได้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เก็บไว้ที่สถานีต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หลักทรัพย์เก็บรักษาที่สถานี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ตำ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หลักทรัพย์ไม่ได้เก็บรักษาที่สถานี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ตำ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8.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การตรวจสอบสภาพรถในคดีจราจร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พนักงานสอบสวนทำบันทึกส่งรถไปตรวจสภาพ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นำรถไปตรวจสภาพที่กองบังคับการตำรวจจราจร หรือผู้ชำนาญการอื่น แต่ต้องสอบสวนให้ปรากฏความรู้ ความชำนาญในเรื่องนั้นไว้ด้วย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9.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การคืนของกลางกรณีศาลมีคำพิพากษาหรือคำสั่งถึงที่สุดไม่ริบ หรืออัยการแจ้งให้คืน 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นำหลักฐานแสดงกรรมสิทธิ์และเอกสารที่เกี่ยวข้อง พบพนักงานสอบสวน 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2.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พนักงานสอบสวนตรวจสอบหลักฐานและพิจารณาเสนอผู้มีอำนาจสั่งคืนของกลาง</w:t>
            </w:r>
          </w:p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3.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ลงบันทึกประจำวันคืนของกลาง และลงลายมือชื่อรับในสมุดบัญชียึดของกลาง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10.</w:t>
            </w:r>
            <w:r>
              <w:rPr>
                <w:rFonts w:hint="cs"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การแจ้งความคืบหน้าของคดี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 xml:space="preserve">พนักงานสอบสวนแจ้งเป็นหนังสือถึงผู้เสียหาย 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และครั้ง ต่อไปเมื่อมีความคืบหน้า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</w:rPr>
              <w:t>11.</w:t>
            </w: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การแจ้งให้ญาติหรือบุคคลที่ผู้ต้องหาไว้ใจทราบการจับกุม เมื่อผู้ถูกจับร้องขอ</w:t>
            </w:r>
          </w:p>
        </w:tc>
        <w:tc>
          <w:tcPr>
            <w:tcW w:w="2707" w:type="dxa"/>
            <w:vAlign w:val="center"/>
          </w:tcPr>
          <w:p>
            <w:pP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eastAsia="Times New Roman" w:cs="TH SarabunIT๙"/>
                <w:color w:val="000000"/>
                <w:sz w:val="32"/>
                <w:szCs w:val="32"/>
                <w:cs/>
                <w:lang w:val="th-TH" w:bidi="th-TH"/>
              </w:rPr>
              <w:t>เจ้าพนักงานตำรวจผู้ควบคุมผู้ต้องหาเป็นผู้แจ้ง หรือประสานงานตำรวจท้องที่ ที่ญาติหรือบุคคลที่ผู้ต้องหาไว้วางใจ มีภูมิลำเนาอยู่เป็นผู้แจ้ง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ทันทีที่ผู้ต้องหาได้ร้องขอ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ความไกลของสถานที่ และ หมายเลขโทรศัพท์ ที่มีความ ชัดเจน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การขอคัดส าเนา เอกสารค าให้การผู้เสียหาย พยานเมื่ออัยการฟ้องคดี แล้ว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ยื่นค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ร้องต่อพนักงาน สอบสวนเวร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วันเวลาราชการ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ได้รับอนุมัติจาผุ้มีอ านาจตาม พ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>บ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>ข้อมูลข่าวสาร พ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พนักงานสอบสวนไป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ยังที่เกิดเหตุหลังรับแจ้ง เหตุ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รับแจ้งเหตุและชักถาม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รายละเอียดเกี่ยวกับที่เกิดเหตุ เดินทางไปที่เกิดเหตุพร้อม ด้วยพลขับรถและผู้ช่วย พนักงานสอบสวน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เริ่มนับแต่เวลาที่ผู้แจ้งได้แจ้ง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เหตุซักถามถามรายละเอียด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จนทราบสถานที่เกิดเหตุแล้ว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ปัจจัยที่ต้องค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นึงถึง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ระยะทางในเขตเทศบาล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นอกเขตเทศบาล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สภาพการจราจร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การแจ้งให้ญาติผู้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ประสบเหตุในคดี อาญา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จราจรทราบในกรณีผู้ ประสบเหตุไม่สามารถแจ้ง ด้วยตนเองได้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พนักงานสอบสวนหรือ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รวจที่พบเหตุ ตรวจสอบเอกสารเกี่ยวกับตัว ผู้ประสบเหตุ ซักถามจาก บุคคลข้างเคียงติดต่อไปยัง ญาติหรือบ้านเรือนข้างเคียงผู้ ประสบเหตุทั้งทางโทรศัพท์ หรือประสานให้ตำรวจไปแจ้ง ยังบ้านของผู้ประสบเหตุ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การช่วยเหลือผู้ตก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ยากกลับภูมิล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เนาเดิม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พนักงานสอบสวนเวรรับแจ้ง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การขอความช่วยเหลือจากผู้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ตกยาก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ซักถามรายละเอียด เกี่ยวกับภูมิลำเนา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เจ้าหน้าที่ธุรการงาน สอบสวนท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หนังสือแจ้งพร้อม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ส่งตัวผู้ตกยากกลับภูมิลำเนา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การแจ้งความร้อง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ทุกข์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พบพนักงานสอบสวนเพื่อ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สอบถามรายละเอียด ข้อเท็จจริง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และสอบสวน ปากค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เจ้าหน้าที่เสมียนประจ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 คดีลงบันทึกประจ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 รับหลักฐานการแจ้งความร้อง ทุกข์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พบพนักงานสอบสวนเพื่อ สอบถามรายละเอียด ข้อเท็จจริง และสอบสวน ปากค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17.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การแจ้งความคนหาย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เจ้าหน้าที่เสมียนประจ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คดีลงบันทึกประจ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 รับหลักฐานการแจ้งความคน หาย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18.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การคืนรถกรณียึดไว้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เพื่อตรวจสอบ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หลักฐานการได้มาหรือมี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ไว้ในครอบครองยื่นต่อ พนักงานสอบสวน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พนักงานสอบสวนตรวจสอบ ความถูกต้องลงบันทึก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วันคืนรถ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19.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การคืนรถกรณียึดไว้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เพื่อตรวจสอบพิสูจน์ หลักฐาน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หลักฐานการได้มีหรือมีไว้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ในครอบครองยื่นต่อพนักงาน สอบสวน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พนักงานสอบสวนตรวจสอบ ความถูกต้อง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รถของกลางส่งตรวจ พิสูจน์หลักฐานกับกองวิทยาการตรวจพิสูจน์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รับผลตรวจ 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>พิจารณาคืน รถ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 xml:space="preserve">ไม่คืน 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rtl/>
                <w:cs/>
                <w:lang w:val="th-TH" w:bidi="th-TH"/>
              </w:rPr>
              <w:t>ลงบันทึก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ประจ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วันทำการ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การขอใบแจ้งการ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ตายเพื่อท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มรณบัตร</w:t>
            </w:r>
          </w:p>
        </w:tc>
        <w:tc>
          <w:tcPr>
            <w:tcW w:w="2707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ใบรับรองการตาย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จากแพทย์มาพบพนักงาน สอบสวนเพื่อออกใบ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.18</w:t>
            </w:r>
          </w:p>
        </w:tc>
        <w:tc>
          <w:tcPr>
            <w:tcW w:w="240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92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>
      <w:pPr>
        <w:pStyle w:val="5"/>
      </w:pPr>
    </w:p>
    <w:sectPr>
      <w:headerReference r:id="rId3" w:type="default"/>
      <w:footerReference r:id="rId4" w:type="default"/>
      <w:type w:val="continuous"/>
      <w:pgSz w:w="12240" w:h="15840"/>
      <w:pgMar w:top="1420" w:right="76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สถานีตำรวจภูธร</w:t>
    </w:r>
    <w:r>
      <w:rPr>
        <w:rFonts w:hint="cs"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ประจักษ์ศิลปาคม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="Tahoma" w:hAnsi="Tahoma" w:cs="Tahoma" w:eastAsiaTheme="majorEastAsia"/>
        <w:cs/>
        <w:lang w:val="th-TH" w:bidi="th-TH"/>
      </w:rPr>
      <w:t>หน้า</w:t>
    </w:r>
    <w:r>
      <w:rPr>
        <w:rFonts w:cs="Cambria" w:asciiTheme="majorHAnsi" w:hAnsiTheme="majorHAnsi" w:eastAsiaTheme="majorEastAsia"/>
        <w:cs/>
        <w:lang w:val="th-TH" w:bidi="th-TH"/>
      </w:rPr>
      <w:t xml:space="preserve"> 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PAGE   \* MERGEFORMAT</w:instrText>
    </w:r>
    <w:r>
      <w:rPr>
        <w:rFonts w:asciiTheme="minorHAnsi" w:hAnsiTheme="minorHAnsi" w:eastAsiaTheme="minorEastAsia" w:cstheme="minorBidi"/>
      </w:rPr>
      <w:fldChar w:fldCharType="separate"/>
    </w:r>
    <w:r>
      <w:rPr>
        <w:rFonts w:cs="Cambria" w:asciiTheme="majorHAnsi" w:hAnsiTheme="majorHAnsi" w:eastAsiaTheme="majorEastAsia"/>
        <w:lang w:val="th-TH" w:bidi="th-TH"/>
      </w:rPr>
      <w:t>1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  <w:alias w:val="ชื่อเรื่อง"/>
      <w:id w:val="77738743"/>
      <w:placeholder>
        <w:docPart w:val="806B224C3EC0483E9B89078370840E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</w:sdtEndPr>
    <w:sdtContent>
      <w:p>
        <w:pPr>
          <w:pStyle w:val="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40"/>
            <w:szCs w:val="40"/>
          </w:rPr>
        </w:pPr>
        <w:r>
          <w:rPr>
            <w:rFonts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พันธะสัญญาการให้บริการประชาชน งาน</w:t>
        </w:r>
        <w:r>
          <w:rPr>
            <w:rFonts w:hint="cs"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สอบสวน</w:t>
        </w:r>
      </w:p>
    </w:sdtContent>
  </w:sdt>
  <w:p>
    <w:pPr>
      <w:pStyle w:val="7"/>
      <w:jc w:val="center"/>
      <w:rPr>
        <w:rFonts w:ascii="TH SarabunIT๙" w:hAnsi="TH SarabunIT๙" w:cs="TH SarabunIT๙"/>
        <w:b/>
        <w:bCs/>
        <w:color w:val="800000"/>
        <w:sz w:val="32"/>
        <w:szCs w:val="32"/>
        <w:cs/>
        <w:lang w:bidi="th-T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D5C2C"/>
    <w:rsid w:val="00046FAF"/>
    <w:rsid w:val="00057DD4"/>
    <w:rsid w:val="000D2256"/>
    <w:rsid w:val="001C7D3F"/>
    <w:rsid w:val="001D5E28"/>
    <w:rsid w:val="001F5E4C"/>
    <w:rsid w:val="00204902"/>
    <w:rsid w:val="00257529"/>
    <w:rsid w:val="002C0C01"/>
    <w:rsid w:val="00337860"/>
    <w:rsid w:val="00352B18"/>
    <w:rsid w:val="00383AA0"/>
    <w:rsid w:val="0040771D"/>
    <w:rsid w:val="004339E2"/>
    <w:rsid w:val="00486EA5"/>
    <w:rsid w:val="0051564A"/>
    <w:rsid w:val="005475CC"/>
    <w:rsid w:val="005755A6"/>
    <w:rsid w:val="005D23D2"/>
    <w:rsid w:val="005D5C2C"/>
    <w:rsid w:val="00613364"/>
    <w:rsid w:val="00654084"/>
    <w:rsid w:val="006C4607"/>
    <w:rsid w:val="007F5A16"/>
    <w:rsid w:val="008A4FD8"/>
    <w:rsid w:val="00903603"/>
    <w:rsid w:val="009361A7"/>
    <w:rsid w:val="00950AC6"/>
    <w:rsid w:val="00970FDA"/>
    <w:rsid w:val="009C5A6B"/>
    <w:rsid w:val="00A209EF"/>
    <w:rsid w:val="00B06F54"/>
    <w:rsid w:val="00B56D59"/>
    <w:rsid w:val="00B775D2"/>
    <w:rsid w:val="00BD3919"/>
    <w:rsid w:val="00C95AEE"/>
    <w:rsid w:val="00CC34BF"/>
    <w:rsid w:val="00D70F4B"/>
    <w:rsid w:val="00DB79C1"/>
    <w:rsid w:val="00DC1ED7"/>
    <w:rsid w:val="00E14F88"/>
    <w:rsid w:val="00E744F4"/>
    <w:rsid w:val="00EB2B07"/>
    <w:rsid w:val="00ED70C7"/>
    <w:rsid w:val="00F009A7"/>
    <w:rsid w:val="00F638C1"/>
    <w:rsid w:val="00F9735B"/>
    <w:rsid w:val="00FA0A6C"/>
    <w:rsid w:val="00FC1928"/>
    <w:rsid w:val="00FC2C13"/>
    <w:rsid w:val="707E400B"/>
    <w:rsid w:val="725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1"/>
    <w:rPr>
      <w:sz w:val="40"/>
      <w:szCs w:val="40"/>
    </w:rPr>
  </w:style>
  <w:style w:type="paragraph" w:styleId="6">
    <w:name w:val="footer"/>
    <w:basedOn w:val="1"/>
    <w:link w:val="15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4"/>
    <w:autoRedefine/>
    <w:unhideWhenUsed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3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autoRedefine/>
    <w:qFormat/>
    <w:uiPriority w:val="1"/>
    <w:pPr>
      <w:spacing w:before="9"/>
      <w:ind w:left="191"/>
    </w:pPr>
    <w:rPr>
      <w:rFonts w:ascii="Tahoma" w:hAnsi="Tahoma" w:eastAsia="Tahoma" w:cs="Tahoma"/>
      <w:b/>
      <w:bCs/>
      <w:sz w:val="44"/>
      <w:szCs w:val="44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69"/>
      <w:ind w:left="418" w:hanging="198"/>
    </w:pPr>
  </w:style>
  <w:style w:type="paragraph" w:customStyle="1" w:styleId="12">
    <w:name w:val="Table Paragraph"/>
    <w:basedOn w:val="1"/>
    <w:autoRedefine/>
    <w:qFormat/>
    <w:uiPriority w:val="1"/>
    <w:pPr>
      <w:ind w:left="107"/>
    </w:pPr>
  </w:style>
  <w:style w:type="character" w:customStyle="1" w:styleId="13">
    <w:name w:val="เนื้อความ อักขระ"/>
    <w:basedOn w:val="2"/>
    <w:link w:val="5"/>
    <w:uiPriority w:val="1"/>
    <w:rPr>
      <w:rFonts w:ascii="Microsoft Sans Serif" w:hAnsi="Microsoft Sans Serif" w:eastAsia="Microsoft Sans Serif" w:cs="Microsoft Sans Serif"/>
      <w:sz w:val="40"/>
      <w:szCs w:val="40"/>
    </w:rPr>
  </w:style>
  <w:style w:type="character" w:customStyle="1" w:styleId="14">
    <w:name w:val="หัวกระดาษ อักขระ"/>
    <w:basedOn w:val="2"/>
    <w:link w:val="7"/>
    <w:autoRedefine/>
    <w:qFormat/>
    <w:uiPriority w:val="99"/>
    <w:rPr>
      <w:rFonts w:ascii="Microsoft Sans Serif" w:hAnsi="Microsoft Sans Serif" w:eastAsia="Microsoft Sans Serif" w:cs="Microsoft Sans Serif"/>
    </w:rPr>
  </w:style>
  <w:style w:type="character" w:customStyle="1" w:styleId="15">
    <w:name w:val="ท้ายกระดาษ อักขระ"/>
    <w:basedOn w:val="2"/>
    <w:link w:val="6"/>
    <w:uiPriority w:val="99"/>
    <w:rPr>
      <w:rFonts w:ascii="Microsoft Sans Serif" w:hAnsi="Microsoft Sans Serif" w:eastAsia="Microsoft Sans Serif" w:cs="Microsoft Sans Serif"/>
    </w:rPr>
  </w:style>
  <w:style w:type="character" w:customStyle="1" w:styleId="16">
    <w:name w:val="ข้อความบอลลูน อักขระ"/>
    <w:basedOn w:val="2"/>
    <w:link w:val="4"/>
    <w:autoRedefine/>
    <w:semiHidden/>
    <w:uiPriority w:val="99"/>
    <w:rPr>
      <w:rFonts w:ascii="Tahoma" w:hAnsi="Tahoma" w:eastAsia="Microsoft Sans Serif" w:cs="Tahoma"/>
      <w:sz w:val="16"/>
      <w:szCs w:val="16"/>
    </w:rPr>
  </w:style>
  <w:style w:type="character" w:customStyle="1" w:styleId="17">
    <w:name w:val="Other_"/>
    <w:basedOn w:val="2"/>
    <w:link w:val="18"/>
    <w:autoRedefine/>
    <w:qFormat/>
    <w:uiPriority w:val="0"/>
    <w:rPr>
      <w:lang w:val="th-TH" w:eastAsia="th-TH" w:bidi="th-TH"/>
    </w:rPr>
  </w:style>
  <w:style w:type="paragraph" w:customStyle="1" w:styleId="18">
    <w:name w:val="Other"/>
    <w:basedOn w:val="1"/>
    <w:link w:val="17"/>
    <w:uiPriority w:val="0"/>
    <w:pPr>
      <w:autoSpaceDE/>
      <w:autoSpaceDN/>
      <w:spacing w:line="418" w:lineRule="auto"/>
    </w:pPr>
    <w:rPr>
      <w:rFonts w:asciiTheme="minorHAnsi" w:hAnsiTheme="minorHAnsi" w:eastAsiaTheme="minorHAnsi" w:cstheme="minorBidi"/>
      <w:lang w:val="th-TH" w:eastAsia="th-TH" w:bidi="th-TH"/>
    </w:rPr>
  </w:style>
  <w:style w:type="character" w:customStyle="1" w:styleId="19">
    <w:name w:val="Subtle Reference"/>
    <w:basedOn w:val="2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6B224C3EC0483E9B89078370840E86"/>
        <w:style w:val="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7A4F0-F777-44B4-8A79-DE1C412A9842}"/>
      </w:docPartPr>
      <w:docPartBody>
        <w:p>
          <w:pPr>
            <w:pStyle w:val="9"/>
          </w:pP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[</w:t>
          </w:r>
          <w:r>
            <w:rPr>
              <w:rFonts w:cs="Microsoft Sans Serif" w:asciiTheme="majorHAnsi" w:hAnsiTheme="majorHAnsi" w:eastAsiaTheme="majorEastAsia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7"/>
    <w:rsid w:val="00002B88"/>
    <w:rsid w:val="00451E99"/>
    <w:rsid w:val="00632265"/>
    <w:rsid w:val="00644B48"/>
    <w:rsid w:val="00B04EB7"/>
    <w:rsid w:val="00C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A92F9EFC3CF407091350E7616400F0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5">
    <w:name w:val="FF4CE1B2C8B3482F8D86EE4287DC4C0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6">
    <w:name w:val="67D7648E703544F2BED79B5FF97310BA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7">
    <w:name w:val="82A9533A49AE4BB9918E1BF1E8FB771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8">
    <w:name w:val="3168E3D1D9734D8CA034B751F8266F3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9">
    <w:name w:val="806B224C3EC0483E9B89078370840E86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982</Words>
  <Characters>5603</Characters>
  <Lines>46</Lines>
  <Paragraphs>13</Paragraphs>
  <TotalTime>0</TotalTime>
  <ScaleCrop>false</ScaleCrop>
  <LinksUpToDate>false</LinksUpToDate>
  <CharactersWithSpaces>6572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2024-03-20T07:13:00Z</dcterms:created>
  <dc:creator>new</dc:creator>
  <cp:lastModifiedBy>5162 ธีรพงศ์ เพชรไพร</cp:lastModifiedBy>
  <cp:lastPrinted>2024-03-20T09:15:00Z</cp:lastPrinted>
  <dcterms:modified xsi:type="dcterms:W3CDTF">2024-04-22T15:12:38Z</dcterms:modified>
  <dc:title>พันธะสัญญาการให้บริการประชาชน งานสอบสวน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1054-12.2.0.16731</vt:lpwstr>
  </property>
  <property fmtid="{D5CDD505-2E9C-101B-9397-08002B2CF9AE}" pid="7" name="ICV">
    <vt:lpwstr>C33209A0896D45AAA1A405C6A7626200_12</vt:lpwstr>
  </property>
</Properties>
</file>